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00" w:lineRule="auto"/>
        <w:rPr>
          <w:rFonts w:ascii="Times New Roman" w:cs="Times New Roman" w:eastAsia="Times New Roman" w:hAnsi="Times New Roman"/>
          <w:color w:val="555555"/>
          <w:sz w:val="18"/>
          <w:szCs w:val="18"/>
        </w:rPr>
      </w:pPr>
      <w:hyperlink r:id="rId6">
        <w:r w:rsidDel="00000000" w:rsidR="00000000" w:rsidRPr="00000000">
          <w:rPr>
            <w:rFonts w:ascii="Times New Roman" w:cs="Times New Roman" w:eastAsia="Times New Roman" w:hAnsi="Times New Roman"/>
            <w:color w:val="1155cc"/>
            <w:sz w:val="18"/>
            <w:szCs w:val="18"/>
            <w:u w:val="single"/>
            <w:rtl w:val="0"/>
          </w:rPr>
          <w:t xml:space="preserve">https://journsfere2019.sciencesconf.org/myspace/index</w:t>
        </w:r>
      </w:hyperlink>
      <w:r w:rsidDel="00000000" w:rsidR="00000000" w:rsidRPr="00000000">
        <w:rPr>
          <w:rFonts w:ascii="Times New Roman" w:cs="Times New Roman" w:eastAsia="Times New Roman" w:hAnsi="Times New Roman"/>
          <w:color w:val="555555"/>
          <w:sz w:val="18"/>
          <w:szCs w:val="18"/>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pStyle w:val="Heading2"/>
        <w:pBdr>
          <w:top w:color="auto" w:space="0" w:sz="0" w:val="none"/>
          <w:left w:color="auto" w:space="0" w:sz="0" w:val="none"/>
          <w:bottom w:color="auto" w:space="0" w:sz="0" w:val="none"/>
          <w:right w:color="auto" w:space="0" w:sz="0" w:val="none"/>
          <w:between w:color="auto" w:space="0" w:sz="0" w:val="none"/>
        </w:pBdr>
        <w:spacing w:after="300" w:lineRule="auto"/>
        <w:rPr>
          <w:rFonts w:ascii="Times New Roman" w:cs="Times New Roman" w:eastAsia="Times New Roman" w:hAnsi="Times New Roman"/>
        </w:rPr>
      </w:pPr>
      <w:bookmarkStart w:colFirst="0" w:colLast="0" w:name="_md4kn4qxwu85" w:id="0"/>
      <w:bookmarkEnd w:id="0"/>
      <w:r w:rsidDel="00000000" w:rsidR="00000000" w:rsidRPr="00000000">
        <w:rPr>
          <w:rFonts w:ascii="Times New Roman" w:cs="Times New Roman" w:eastAsia="Times New Roman" w:hAnsi="Times New Roman"/>
          <w:rtl w:val="0"/>
        </w:rPr>
        <w:t xml:space="preserve">Let’s STEAM : un projet Erasmus+ pour l’apprentissage techno-créatif de l’informatique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Romero, </w:t>
      </w:r>
      <w:r w:rsidDel="00000000" w:rsidR="00000000" w:rsidRPr="00000000">
        <w:rPr>
          <w:rFonts w:ascii="Times New Roman" w:cs="Times New Roman" w:eastAsia="Times New Roman" w:hAnsi="Times New Roman"/>
          <w:rtl w:val="0"/>
        </w:rPr>
        <w:t xml:space="preserve">Nedjar-Ballester</w:t>
      </w:r>
      <w:r w:rsidDel="00000000" w:rsidR="00000000" w:rsidRPr="00000000">
        <w:rPr>
          <w:rFonts w:ascii="Times New Roman" w:cs="Times New Roman" w:eastAsia="Times New Roman" w:hAnsi="Times New Roman"/>
          <w:rtl w:val="0"/>
        </w:rPr>
        <w:t xml:space="preserve">, Heiser, </w:t>
      </w:r>
      <w:r w:rsidDel="00000000" w:rsidR="00000000" w:rsidRPr="00000000">
        <w:rPr>
          <w:rFonts w:ascii="Times New Roman" w:cs="Times New Roman" w:eastAsia="Times New Roman" w:hAnsi="Times New Roman"/>
          <w:rtl w:val="0"/>
        </w:rPr>
        <w:t xml:space="preserve">Rafalska</w:t>
      </w:r>
      <w:r w:rsidDel="00000000" w:rsidR="00000000" w:rsidRPr="00000000">
        <w:rPr>
          <w:rFonts w:ascii="Times New Roman" w:cs="Times New Roman" w:eastAsia="Times New Roman" w:hAnsi="Times New Roman"/>
          <w:rtl w:val="0"/>
        </w:rPr>
        <w:t xml:space="preserve">, Vieville, </w:t>
      </w:r>
      <w:r w:rsidDel="00000000" w:rsidR="00000000" w:rsidRPr="00000000">
        <w:rPr>
          <w:rFonts w:ascii="Times New Roman" w:cs="Times New Roman" w:eastAsia="Times New Roman" w:hAnsi="Times New Roman"/>
          <w:rtl w:val="0"/>
        </w:rPr>
        <w:t xml:space="preserve">Lefevre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L’apprentissage de l’informatique a connu un essor au cours des dernières années dans les pays de l’OCDE, cependant, la formation des enseignant.e.s reste un enjeu. En France, l’apprentissage de la programmation a été introduit dans les programmes scolaires dès 2016, mais la formation initiale et continue des enseignant.e.s n’a pas été développée dans l’ensemble du territoire avec les mêmes approches ni les mêmes ressources. Dans le contexte des cours TICE de l’INSPÉ de Nice, l’équipe enseignante s’est mobilisée pour intégrer l’apprentissage de la programmation sous une approche techno-créative </w:t>
      </w:r>
      <w:hyperlink r:id="rId7">
        <w:r w:rsidDel="00000000" w:rsidR="00000000" w:rsidRPr="00000000">
          <w:rPr>
            <w:rFonts w:ascii="Times New Roman" w:cs="Times New Roman" w:eastAsia="Times New Roman" w:hAnsi="Times New Roman"/>
            <w:vertAlign w:val="baseline"/>
            <w:rtl w:val="0"/>
          </w:rPr>
          <w:t xml:space="preserve">(De Smet, Heiser, Banus, Fouace, &amp; Romero, 2017; Romero et al., 2017)</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 aux défis du développement de la formation initiale et continue des enseignant.e.s au niveau scolaire 1D et 2D, le projet Erasmus+ </w:t>
      </w:r>
      <w:r w:rsidDel="00000000" w:rsidR="00000000" w:rsidRPr="00000000">
        <w:rPr>
          <w:rFonts w:ascii="Times New Roman" w:cs="Times New Roman" w:eastAsia="Times New Roman" w:hAnsi="Times New Roman"/>
          <w:i w:val="1"/>
          <w:rtl w:val="0"/>
        </w:rPr>
        <w:t xml:space="preserve">Let’s STEAM</w:t>
      </w:r>
      <w:r w:rsidDel="00000000" w:rsidR="00000000" w:rsidRPr="00000000">
        <w:rPr>
          <w:rFonts w:ascii="Times New Roman" w:cs="Times New Roman" w:eastAsia="Times New Roman" w:hAnsi="Times New Roman"/>
          <w:rtl w:val="0"/>
        </w:rPr>
        <w:t xml:space="preserve"> porté par Sébastien Nedjar de l’IUT d’Aix-Marseille, a permis de réunir des collègues en France (Aix-Marseille Université, Université Côte d’Azur), mais aussi des universités en Espagne, en Italie et en Grèce. Dans le cadre de </w:t>
      </w:r>
      <w:r w:rsidDel="00000000" w:rsidR="00000000" w:rsidRPr="00000000">
        <w:rPr>
          <w:rFonts w:ascii="Times New Roman" w:cs="Times New Roman" w:eastAsia="Times New Roman" w:hAnsi="Times New Roman"/>
          <w:i w:val="1"/>
          <w:rtl w:val="0"/>
        </w:rPr>
        <w:t xml:space="preserve">Let’s STEAM</w:t>
      </w:r>
      <w:r w:rsidDel="00000000" w:rsidR="00000000" w:rsidRPr="00000000">
        <w:rPr>
          <w:rFonts w:ascii="Times New Roman" w:cs="Times New Roman" w:eastAsia="Times New Roman" w:hAnsi="Times New Roman"/>
          <w:rtl w:val="0"/>
        </w:rPr>
        <w:t xml:space="preserve"> il sera question d’analyser les différents usages et ressources pour l’usage d’objets connectés en éducation pour l’apprentissage de l’informatique en éducation formelle. La contribution du Laboratoire d’Innovation et Numérique pour l’Education (LINE) vise à apporter une expertise sur l’approche techno-créative dans l’élaboration des ressources éducatives (</w:t>
      </w:r>
      <w:r w:rsidDel="00000000" w:rsidR="00000000" w:rsidRPr="00000000">
        <w:rPr>
          <w:rFonts w:ascii="Times New Roman" w:cs="Times New Roman" w:eastAsia="Times New Roman" w:hAnsi="Times New Roman"/>
          <w:i w:val="1"/>
          <w:rtl w:val="0"/>
        </w:rPr>
        <w:t xml:space="preserve">T2.1: Training contents</w:t>
      </w:r>
      <w:r w:rsidDel="00000000" w:rsidR="00000000" w:rsidRPr="00000000">
        <w:rPr>
          <w:rFonts w:ascii="Times New Roman" w:cs="Times New Roman" w:eastAsia="Times New Roman" w:hAnsi="Times New Roman"/>
          <w:rtl w:val="0"/>
        </w:rPr>
        <w:t xml:space="preserve">) et des critères d’évaluation pour les ressources éducatives et la plateforme (</w:t>
      </w:r>
      <w:r w:rsidDel="00000000" w:rsidR="00000000" w:rsidRPr="00000000">
        <w:rPr>
          <w:rFonts w:ascii="Times New Roman" w:cs="Times New Roman" w:eastAsia="Times New Roman" w:hAnsi="Times New Roman"/>
          <w:i w:val="1"/>
          <w:rtl w:val="0"/>
        </w:rPr>
        <w:t xml:space="preserve">T1.4.2: Evaluation grids</w:t>
      </w:r>
      <w:r w:rsidDel="00000000" w:rsidR="00000000" w:rsidRPr="00000000">
        <w:rPr>
          <w:rFonts w:ascii="Times New Roman" w:cs="Times New Roman" w:eastAsia="Times New Roman" w:hAnsi="Times New Roman"/>
          <w:rtl w:val="0"/>
        </w:rPr>
        <w:t xml:space="preserve">) en base aux travaux que  nous développons sur l’évaluation de la pensée informatique. Suite à l’usage des grilles d’évaluation et leur analyse, nous procéderons à des recommandations visant l’amélioration des activités techno-créatives dès la perspective des ressources (</w:t>
      </w:r>
      <w:r w:rsidDel="00000000" w:rsidR="00000000" w:rsidRPr="00000000">
        <w:rPr>
          <w:rFonts w:ascii="Times New Roman" w:cs="Times New Roman" w:eastAsia="Times New Roman" w:hAnsi="Times New Roman"/>
          <w:i w:val="1"/>
          <w:rtl w:val="0"/>
        </w:rPr>
        <w:t xml:space="preserve">T2.3: Assessment</w:t>
      </w:r>
      <w:r w:rsidDel="00000000" w:rsidR="00000000" w:rsidRPr="00000000">
        <w:rPr>
          <w:rFonts w:ascii="Times New Roman" w:cs="Times New Roman" w:eastAsia="Times New Roman" w:hAnsi="Times New Roman"/>
          <w:rtl w:val="0"/>
        </w:rPr>
        <w:t xml:space="preserve">) et la perspective des enseignant.e.s (</w:t>
      </w:r>
      <w:r w:rsidDel="00000000" w:rsidR="00000000" w:rsidRPr="00000000">
        <w:rPr>
          <w:rFonts w:ascii="Times New Roman" w:cs="Times New Roman" w:eastAsia="Times New Roman" w:hAnsi="Times New Roman"/>
          <w:i w:val="1"/>
          <w:rtl w:val="0"/>
        </w:rPr>
        <w:t xml:space="preserve">T3.3: User validation</w:t>
      </w:r>
      <w:r w:rsidDel="00000000" w:rsidR="00000000" w:rsidRPr="00000000">
        <w:rPr>
          <w:rFonts w:ascii="Times New Roman" w:cs="Times New Roman" w:eastAsia="Times New Roman" w:hAnsi="Times New Roman"/>
          <w:rtl w:val="0"/>
        </w:rPr>
        <w:t xml:space="preserve">) et des apprenant.e.s (</w:t>
      </w:r>
      <w:r w:rsidDel="00000000" w:rsidR="00000000" w:rsidRPr="00000000">
        <w:rPr>
          <w:rFonts w:ascii="Times New Roman" w:cs="Times New Roman" w:eastAsia="Times New Roman" w:hAnsi="Times New Roman"/>
          <w:i w:val="1"/>
          <w:rtl w:val="0"/>
        </w:rPr>
        <w:t xml:space="preserve">T4.3: Analysis of the activities</w:t>
      </w:r>
      <w:r w:rsidDel="00000000" w:rsidR="00000000" w:rsidRPr="00000000">
        <w:rPr>
          <w:rFonts w:ascii="Times New Roman" w:cs="Times New Roman" w:eastAsia="Times New Roman" w:hAnsi="Times New Roman"/>
          <w:rtl w:val="0"/>
        </w:rPr>
        <w:t xml:space="preserve">). Le développement de cette démarche méthodologique d’évaluation et d’amélioration itérative fera l’objet de publications au cours du projet Let’s STEAM (</w:t>
      </w:r>
      <w:r w:rsidDel="00000000" w:rsidR="00000000" w:rsidRPr="00000000">
        <w:rPr>
          <w:rFonts w:ascii="Times New Roman" w:cs="Times New Roman" w:eastAsia="Times New Roman" w:hAnsi="Times New Roman"/>
          <w:i w:val="1"/>
          <w:rtl w:val="0"/>
        </w:rPr>
        <w:t xml:space="preserve">T5.1: Scientific outcomes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projet </w:t>
      </w:r>
      <w:r w:rsidDel="00000000" w:rsidR="00000000" w:rsidRPr="00000000">
        <w:rPr>
          <w:rFonts w:ascii="Times New Roman" w:cs="Times New Roman" w:eastAsia="Times New Roman" w:hAnsi="Times New Roman"/>
          <w:i w:val="1"/>
          <w:rtl w:val="0"/>
        </w:rPr>
        <w:t xml:space="preserve">Let’s STEAM</w:t>
      </w:r>
      <w:r w:rsidDel="00000000" w:rsidR="00000000" w:rsidRPr="00000000">
        <w:rPr>
          <w:rFonts w:ascii="Times New Roman" w:cs="Times New Roman" w:eastAsia="Times New Roman" w:hAnsi="Times New Roman"/>
          <w:rtl w:val="0"/>
        </w:rPr>
        <w:t xml:space="preserve"> s’inscrit dans un paysage marqué par la réforme des formations au sein des INSPÉ, ce qui  permet d’envisager  un arrimage formation-recherche  orienté autour des activités techno-créatives développées au sein de ce projet. Ce dernier pourra alors bénéficier aux enseignant.e.s en formation initiale et continue que nous formons à l’INSPÉ de Nice et aux activités de recherche et de médiation scientifique du laboratoire LINE à l’Université Côte d’Azur.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Références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480" w:lineRule="auto"/>
        <w:ind w:left="720" w:hanging="720"/>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vertAlign w:val="baseline"/>
            <w:rtl w:val="0"/>
          </w:rPr>
          <w:t xml:space="preserve">De Smet, C., Heiser, L., Banus, O., Fouace, S., &amp; Romero, M. (2017, novembre). </w:t>
        </w:r>
      </w:hyperlink>
      <w:hyperlink r:id="rId9">
        <w:r w:rsidDel="00000000" w:rsidR="00000000" w:rsidRPr="00000000">
          <w:rPr>
            <w:rFonts w:ascii="Times New Roman" w:cs="Times New Roman" w:eastAsia="Times New Roman" w:hAnsi="Times New Roman"/>
            <w:i w:val="1"/>
            <w:vertAlign w:val="baseline"/>
            <w:rtl w:val="0"/>
          </w:rPr>
          <w:t xml:space="preserve">Forme Scolaire et Créativité</w:t>
        </w:r>
      </w:hyperlink>
      <w:hyperlink r:id="rId10">
        <w:r w:rsidDel="00000000" w:rsidR="00000000" w:rsidRPr="00000000">
          <w:rPr>
            <w:rFonts w:ascii="Times New Roman" w:cs="Times New Roman" w:eastAsia="Times New Roman" w:hAnsi="Times New Roman"/>
            <w:vertAlign w:val="baseline"/>
            <w:rtl w:val="0"/>
          </w:rPr>
          <w:t xml:space="preserve">. Présenté à Educatec Educatice. Educatec Educatice.</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vertAlign w:val="baseline"/>
            <w:rtl w:val="0"/>
          </w:rPr>
          <w:t xml:space="preserve">Romero, M., Brunel, M., Santini, J., Quilio, S., De Smet, C., &amp; Douek, N. (2017). De l’innovation éducative aux usages créatifs des TIC: présentation du Laboratoire d’Innovation et Numérique pour l’Éducation (LINE). </w:t>
        </w:r>
      </w:hyperlink>
      <w:hyperlink r:id="rId12">
        <w:r w:rsidDel="00000000" w:rsidR="00000000" w:rsidRPr="00000000">
          <w:rPr>
            <w:rFonts w:ascii="Times New Roman" w:cs="Times New Roman" w:eastAsia="Times New Roman" w:hAnsi="Times New Roman"/>
            <w:i w:val="1"/>
            <w:vertAlign w:val="baseline"/>
            <w:rtl w:val="0"/>
          </w:rPr>
          <w:t xml:space="preserve">Actes du colloque CIRTA 2017</w:t>
        </w:r>
      </w:hyperlink>
      <w:hyperlink r:id="rId13">
        <w:r w:rsidDel="00000000" w:rsidR="00000000" w:rsidRPr="00000000">
          <w:rPr>
            <w:rFonts w:ascii="Times New Roman" w:cs="Times New Roman" w:eastAsia="Times New Roman" w:hAnsi="Times New Roman"/>
            <w:vertAlign w:val="baseline"/>
            <w:rtl w:val="0"/>
          </w:rPr>
          <w:t xml:space="preserve">, </w:t>
        </w:r>
      </w:hyperlink>
      <w:hyperlink r:id="rId14">
        <w:r w:rsidDel="00000000" w:rsidR="00000000" w:rsidRPr="00000000">
          <w:rPr>
            <w:rFonts w:ascii="Times New Roman" w:cs="Times New Roman" w:eastAsia="Times New Roman" w:hAnsi="Times New Roman"/>
            <w:i w:val="1"/>
            <w:vertAlign w:val="baseline"/>
            <w:rtl w:val="0"/>
          </w:rPr>
          <w:t xml:space="preserve">1</w:t>
        </w:r>
      </w:hyperlink>
      <w:hyperlink r:id="rId15">
        <w:r w:rsidDel="00000000" w:rsidR="00000000" w:rsidRPr="00000000">
          <w:rPr>
            <w:rFonts w:ascii="Times New Roman" w:cs="Times New Roman" w:eastAsia="Times New Roman" w:hAnsi="Times New Roman"/>
            <w:vertAlign w:val="baseline"/>
            <w:rtl w:val="0"/>
          </w:rPr>
          <w:t xml:space="preserve">. Consulté à l’adresse https://goo.gl/By91sV</w:t>
        </w:r>
      </w:hyperlink>
      <w:r w:rsidDel="00000000" w:rsidR="00000000" w:rsidRPr="00000000">
        <w:rPr>
          <w:rtl w:val="0"/>
        </w:rPr>
      </w:r>
    </w:p>
    <w:sectPr>
      <w:footerReference r:id="rId16"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t xml:space="preserve">Edit link  </w:t>
    </w:r>
    <w:hyperlink r:id="rId1">
      <w:r w:rsidDel="00000000" w:rsidR="00000000" w:rsidRPr="00000000">
        <w:rPr>
          <w:color w:val="1155cc"/>
          <w:u w:val="single"/>
          <w:rtl w:val="0"/>
        </w:rPr>
        <w:t xml:space="preserve">http://bit.ly/2jY7308</w:t>
      </w:r>
    </w:hyperlink>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otero.org/google-docs/?Ci5Xi1" TargetMode="External"/><Relationship Id="rId10" Type="http://schemas.openxmlformats.org/officeDocument/2006/relationships/hyperlink" Target="https://www.zotero.org/google-docs/?Ci5Xi1" TargetMode="External"/><Relationship Id="rId13" Type="http://schemas.openxmlformats.org/officeDocument/2006/relationships/hyperlink" Target="https://www.zotero.org/google-docs/?Ci5Xi1" TargetMode="External"/><Relationship Id="rId12" Type="http://schemas.openxmlformats.org/officeDocument/2006/relationships/hyperlink" Target="https://www.zotero.org/google-docs/?Ci5Xi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Ci5Xi1" TargetMode="External"/><Relationship Id="rId15" Type="http://schemas.openxmlformats.org/officeDocument/2006/relationships/hyperlink" Target="https://www.zotero.org/google-docs/?Ci5Xi1" TargetMode="External"/><Relationship Id="rId14" Type="http://schemas.openxmlformats.org/officeDocument/2006/relationships/hyperlink" Target="https://www.zotero.org/google-docs/?Ci5Xi1"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journsfere2019.sciencesconf.org/myspace/index" TargetMode="External"/><Relationship Id="rId7" Type="http://schemas.openxmlformats.org/officeDocument/2006/relationships/hyperlink" Target="https://www.zotero.org/google-docs/?PYK3g5" TargetMode="External"/><Relationship Id="rId8" Type="http://schemas.openxmlformats.org/officeDocument/2006/relationships/hyperlink" Target="https://www.zotero.org/google-docs/?Ci5Xi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bit.ly/2jY7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